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ascii="Arial" w:hAnsi="Arial" w:cs="Arial" w:eastAsiaTheme="minorEastAsia"/>
          <w:b/>
          <w:sz w:val="36"/>
          <w:szCs w:val="36"/>
        </w:rPr>
      </w:pPr>
      <w:r>
        <w:rPr>
          <w:rFonts w:ascii="Arial" w:hAnsi="Arial" w:cs="Arial" w:eastAsiaTheme="minorEastAsia"/>
          <w:b/>
          <w:sz w:val="36"/>
          <w:szCs w:val="36"/>
        </w:rPr>
        <w:t>会计学院 会计学（加拿大CPA）招生简章（202</w:t>
      </w:r>
      <w:r>
        <w:rPr>
          <w:rFonts w:hint="eastAsia" w:ascii="Arial" w:hAnsi="Arial" w:cs="Arial" w:eastAsiaTheme="minorEastAsia"/>
          <w:b/>
          <w:sz w:val="36"/>
          <w:szCs w:val="36"/>
        </w:rPr>
        <w:t>3</w:t>
      </w:r>
      <w:r>
        <w:rPr>
          <w:rFonts w:ascii="Arial" w:hAnsi="Arial" w:cs="Arial" w:eastAsiaTheme="minorEastAsia"/>
          <w:b/>
          <w:sz w:val="36"/>
          <w:szCs w:val="36"/>
        </w:rPr>
        <w:t>）</w:t>
      </w:r>
    </w:p>
    <w:p>
      <w:pPr>
        <w:spacing w:after="0" w:line="360" w:lineRule="auto"/>
        <w:ind w:firstLine="480" w:firstLineChars="200"/>
        <w:rPr>
          <w:rFonts w:ascii="Arial" w:hAnsi="Arial" w:cs="Arial" w:eastAsiaTheme="minorEastAsia"/>
          <w:sz w:val="24"/>
          <w:szCs w:val="24"/>
        </w:rPr>
      </w:pPr>
    </w:p>
    <w:p>
      <w:pPr>
        <w:spacing w:after="0" w:line="360" w:lineRule="auto"/>
        <w:ind w:firstLine="480" w:firstLineChars="200"/>
        <w:rPr>
          <w:rFonts w:ascii="Arial" w:hAnsi="Arial" w:cs="Arial" w:eastAsiaTheme="minorEastAsia"/>
          <w:sz w:val="24"/>
          <w:szCs w:val="24"/>
        </w:rPr>
      </w:pPr>
      <w:r>
        <w:rPr>
          <w:rFonts w:ascii="Arial" w:hAnsi="Arial" w:cs="Arial" w:eastAsiaTheme="minorEastAsia"/>
          <w:sz w:val="24"/>
          <w:szCs w:val="24"/>
        </w:rPr>
        <w:t>哈尔滨商业大学会计学院于2004年初正式与加拿大注册会计师协会CGA（Certified General Accounts Association of Canada）签署合作协议，设立会计学（加拿大CGA方向）本科成建制班。招生面向当年全校本科专业，其方式为由学生本人提出申请，学校通过英语测试遴选，综合高考英语成绩，择优选拔。2004年9月，会计学院正式开始招收第一批会计学专业（CGA方向）本科生。</w:t>
      </w:r>
      <w:r>
        <w:rPr>
          <w:rFonts w:hint="eastAsia" w:ascii="Arial" w:hAnsi="Arial" w:cs="Arial" w:eastAsiaTheme="minorEastAsia"/>
          <w:sz w:val="24"/>
          <w:szCs w:val="24"/>
        </w:rPr>
        <w:t>2015年，加拿大</w:t>
      </w:r>
      <w:r>
        <w:rPr>
          <w:rFonts w:ascii="Arial" w:hAnsi="Arial" w:cs="Arial" w:eastAsiaTheme="minorEastAsia"/>
          <w:sz w:val="24"/>
          <w:szCs w:val="24"/>
        </w:rPr>
        <w:t>注册会计师升级更名为加拿大特许专业会计师（</w:t>
      </w:r>
      <w:r>
        <w:rPr>
          <w:rFonts w:hint="eastAsia" w:ascii="Arial" w:hAnsi="Arial" w:cs="Arial" w:eastAsiaTheme="minorEastAsia"/>
          <w:sz w:val="24"/>
          <w:szCs w:val="24"/>
        </w:rPr>
        <w:t>加拿大</w:t>
      </w:r>
      <w:r>
        <w:rPr>
          <w:rFonts w:ascii="Arial" w:hAnsi="Arial" w:cs="Arial" w:eastAsiaTheme="minorEastAsia"/>
          <w:sz w:val="24"/>
          <w:szCs w:val="24"/>
        </w:rPr>
        <w:t>C</w:t>
      </w:r>
      <w:r>
        <w:rPr>
          <w:rFonts w:hint="eastAsia" w:ascii="Arial" w:hAnsi="Arial" w:cs="Arial" w:eastAsiaTheme="minorEastAsia"/>
          <w:sz w:val="24"/>
          <w:szCs w:val="24"/>
        </w:rPr>
        <w:t>PA</w:t>
      </w:r>
      <w:r>
        <w:rPr>
          <w:rFonts w:ascii="Arial" w:hAnsi="Arial" w:cs="Arial" w:eastAsiaTheme="minorEastAsia"/>
          <w:sz w:val="24"/>
          <w:szCs w:val="24"/>
        </w:rPr>
        <w:t>）</w:t>
      </w:r>
      <w:r>
        <w:rPr>
          <w:rFonts w:hint="eastAsia" w:ascii="Arial" w:hAnsi="Arial" w:cs="Arial" w:eastAsiaTheme="minorEastAsia"/>
          <w:sz w:val="24"/>
          <w:szCs w:val="24"/>
        </w:rPr>
        <w:t>，会计学院同步将专业名称调整为</w:t>
      </w:r>
      <w:r>
        <w:rPr>
          <w:rFonts w:ascii="Arial" w:hAnsi="Arial" w:cs="Arial" w:eastAsiaTheme="minorEastAsia"/>
          <w:sz w:val="24"/>
          <w:szCs w:val="24"/>
        </w:rPr>
        <w:t>会计学（加拿大CPA方向）。截至目前，会计学（加拿大CPA方向）共有在校学生</w:t>
      </w:r>
      <w:r>
        <w:rPr>
          <w:rFonts w:hint="eastAsia" w:ascii="Arial" w:hAnsi="Arial" w:cs="Arial" w:eastAsiaTheme="minorEastAsia"/>
          <w:sz w:val="24"/>
          <w:szCs w:val="24"/>
        </w:rPr>
        <w:t>63</w:t>
      </w:r>
      <w:r>
        <w:rPr>
          <w:rFonts w:ascii="Arial" w:hAnsi="Arial" w:cs="Arial" w:eastAsiaTheme="minorEastAsia"/>
          <w:sz w:val="24"/>
          <w:szCs w:val="24"/>
        </w:rPr>
        <w:t>人，已毕业学生</w:t>
      </w:r>
      <w:r>
        <w:rPr>
          <w:rFonts w:hint="eastAsia" w:ascii="Arial" w:hAnsi="Arial" w:cs="Arial" w:eastAsiaTheme="minorEastAsia"/>
          <w:sz w:val="24"/>
          <w:szCs w:val="24"/>
        </w:rPr>
        <w:t>647</w:t>
      </w:r>
      <w:r>
        <w:rPr>
          <w:rFonts w:ascii="Arial" w:hAnsi="Arial" w:cs="Arial" w:eastAsiaTheme="minorEastAsia"/>
          <w:sz w:val="24"/>
          <w:szCs w:val="24"/>
        </w:rPr>
        <w:t>人。</w:t>
      </w:r>
    </w:p>
    <w:p>
      <w:pPr>
        <w:spacing w:after="0" w:line="360" w:lineRule="auto"/>
        <w:ind w:firstLine="480" w:firstLineChars="200"/>
        <w:rPr>
          <w:rFonts w:ascii="Arial" w:hAnsi="Arial" w:cs="Arial" w:eastAsiaTheme="minorEastAsia"/>
          <w:sz w:val="24"/>
          <w:szCs w:val="24"/>
        </w:rPr>
      </w:pPr>
      <w:r>
        <w:rPr>
          <w:rFonts w:ascii="Arial" w:hAnsi="Arial" w:cs="Arial" w:eastAsiaTheme="minorEastAsia"/>
          <w:sz w:val="24"/>
          <w:szCs w:val="24"/>
        </w:rPr>
        <w:t>加拿大CPA专业毕业的学子</w:t>
      </w:r>
      <w:r>
        <w:rPr>
          <w:rFonts w:hint="eastAsia" w:asciiTheme="minorEastAsia" w:hAnsiTheme="minorEastAsia" w:eastAsiaTheme="minorEastAsia"/>
          <w:sz w:val="24"/>
          <w:szCs w:val="24"/>
        </w:rPr>
        <w:t>就业率在98%以上，</w:t>
      </w:r>
      <w:r>
        <w:rPr>
          <w:rFonts w:ascii="Arial" w:hAnsi="Arial" w:cs="Arial" w:eastAsiaTheme="minorEastAsia"/>
          <w:sz w:val="24"/>
          <w:szCs w:val="24"/>
        </w:rPr>
        <w:t>在多年的不懈努力下取得了骄人的成绩，他们分布在北京，杭州，深圳，大连，哈尔滨，多伦多，纽约等地，就职于大型外企、国企、银行、会计师事务所、财政局税务局等单位。他们中的一些佼佼者现已在知名企业中担任财务主管、会计主管或财务经理。大约20%的毕业生在各大银行的财务科、会计科、清算科等部门担任科员；30%的学生选择了出国</w:t>
      </w:r>
      <w:r>
        <w:rPr>
          <w:rFonts w:hint="eastAsia" w:ascii="Arial" w:hAnsi="Arial" w:cs="Arial" w:eastAsiaTheme="minorEastAsia"/>
          <w:sz w:val="24"/>
          <w:szCs w:val="24"/>
        </w:rPr>
        <w:t>或去香港、澳门</w:t>
      </w:r>
      <w:r>
        <w:rPr>
          <w:rFonts w:ascii="Arial" w:hAnsi="Arial" w:cs="Arial" w:eastAsiaTheme="minorEastAsia"/>
          <w:sz w:val="24"/>
          <w:szCs w:val="24"/>
        </w:rPr>
        <w:t>求学深造，就读学校主要包括加拿大劳里埃大学、加拿大劳伦森大学、加拿大温莎大学、加拿大曼尼托巴大学、曼彻斯特大学、英国牛津布鲁克斯大学、格拉斯哥大学、阿斯顿大学、英国艾克赛特大学、英国南安普顿大学、英国诺丁汉大学、悉尼大学</w:t>
      </w:r>
      <w:r>
        <w:rPr>
          <w:rFonts w:hint="eastAsia" w:ascii="Arial" w:hAnsi="Arial" w:cs="Arial" w:eastAsiaTheme="minorEastAsia"/>
          <w:sz w:val="24"/>
          <w:szCs w:val="24"/>
        </w:rPr>
        <w:t>、香港浸会大学</w:t>
      </w:r>
      <w:r>
        <w:rPr>
          <w:rFonts w:ascii="Arial" w:hAnsi="Arial" w:cs="Arial" w:eastAsiaTheme="minorEastAsia"/>
          <w:sz w:val="24"/>
          <w:szCs w:val="24"/>
        </w:rPr>
        <w:t>等；15%的学生在国内考取硕士研究生。但无论是获得高学历还是获得资格证，他们主要还是从事与本专业相关的工作。</w:t>
      </w:r>
    </w:p>
    <w:p>
      <w:pPr>
        <w:spacing w:after="0" w:line="360" w:lineRule="auto"/>
        <w:ind w:firstLine="480" w:firstLineChars="200"/>
        <w:rPr>
          <w:rFonts w:ascii="Arial" w:hAnsi="Arial" w:cs="Arial" w:eastAsiaTheme="minorEastAsia"/>
          <w:sz w:val="24"/>
          <w:szCs w:val="24"/>
        </w:rPr>
      </w:pPr>
    </w:p>
    <w:p>
      <w:pPr>
        <w:spacing w:after="0" w:line="360" w:lineRule="auto"/>
        <w:rPr>
          <w:rFonts w:ascii="Arial" w:hAnsi="Arial" w:cs="Arial" w:eastAsiaTheme="minorEastAsia"/>
          <w:b/>
          <w:sz w:val="24"/>
          <w:szCs w:val="24"/>
        </w:rPr>
      </w:pPr>
      <w:r>
        <w:rPr>
          <w:rFonts w:ascii="Arial" w:hAnsi="Arial" w:cs="Arial" w:eastAsiaTheme="minorEastAsia"/>
          <w:b/>
          <w:sz w:val="24"/>
          <w:szCs w:val="24"/>
        </w:rPr>
        <w:t>专业优势</w:t>
      </w:r>
    </w:p>
    <w:p>
      <w:pPr>
        <w:spacing w:after="0" w:line="360" w:lineRule="auto"/>
        <w:rPr>
          <w:rFonts w:ascii="Arial" w:hAnsi="Arial" w:cs="Arial" w:eastAsiaTheme="minorEastAsia"/>
          <w:sz w:val="24"/>
          <w:szCs w:val="24"/>
        </w:rPr>
      </w:pPr>
      <w:r>
        <w:rPr>
          <w:rFonts w:ascii="Arial" w:hAnsi="Arial" w:cs="Arial" w:eastAsiaTheme="minorEastAsia"/>
          <w:b/>
          <w:sz w:val="24"/>
          <w:szCs w:val="24"/>
        </w:rPr>
        <w:t>优势一：</w:t>
      </w:r>
      <w:r>
        <w:rPr>
          <w:rFonts w:ascii="Arial" w:hAnsi="Arial" w:cs="Arial" w:eastAsiaTheme="minorEastAsia"/>
          <w:sz w:val="24"/>
          <w:szCs w:val="24"/>
        </w:rPr>
        <w:t>培养全面</w:t>
      </w:r>
      <w:r>
        <w:rPr>
          <w:rFonts w:ascii="Arial" w:hAnsi="Arial" w:cs="Arial" w:eastAsiaTheme="minorEastAsia"/>
          <w:sz w:val="24"/>
          <w:szCs w:val="24"/>
        </w:rPr>
        <w:br w:type="textWrapping"/>
      </w:r>
      <w:r>
        <w:rPr>
          <w:rFonts w:hint="eastAsia" w:ascii="Arial" w:hAnsi="Arial" w:cs="Arial" w:eastAsiaTheme="minorEastAsia"/>
          <w:sz w:val="24"/>
          <w:szCs w:val="24"/>
        </w:rPr>
        <w:t xml:space="preserve"> </w:t>
      </w:r>
      <w:r>
        <w:rPr>
          <w:rFonts w:ascii="Arial" w:hAnsi="Arial" w:cs="Arial" w:eastAsiaTheme="minorEastAsia"/>
          <w:sz w:val="24"/>
          <w:szCs w:val="24"/>
        </w:rPr>
        <w:t xml:space="preserve">      重点培养学生运用国际会计准则与国际惯例（尤其是北美、中国香港地区）处理会计业务能力，使学生具备企业涉外经济业务和跨国公司所需的会计、审计、金融等方面知识。</w:t>
      </w:r>
    </w:p>
    <w:p>
      <w:pPr>
        <w:spacing w:after="0" w:line="360" w:lineRule="auto"/>
        <w:rPr>
          <w:rFonts w:ascii="Arial" w:hAnsi="Arial" w:cs="Arial"/>
          <w:b/>
          <w:sz w:val="24"/>
          <w:szCs w:val="24"/>
        </w:rPr>
      </w:pPr>
      <w:r>
        <w:rPr>
          <w:rFonts w:ascii="Arial" w:hAnsi="Arial" w:cs="Arial" w:eastAsiaTheme="minorEastAsia"/>
          <w:b/>
          <w:sz w:val="24"/>
          <w:szCs w:val="24"/>
        </w:rPr>
        <w:t>优势二：</w:t>
      </w:r>
      <w:r>
        <w:rPr>
          <w:rFonts w:ascii="Arial" w:hAnsi="Arial" w:cs="Arial" w:eastAsiaTheme="minorEastAsia"/>
          <w:sz w:val="24"/>
          <w:szCs w:val="24"/>
        </w:rPr>
        <w:t>师</w:t>
      </w:r>
      <w:r>
        <w:rPr>
          <w:rFonts w:ascii="Arial" w:hAnsi="Arial" w:eastAsia="宋体" w:cs="Arial"/>
          <w:sz w:val="24"/>
          <w:szCs w:val="24"/>
        </w:rPr>
        <w:t>资雄厚</w:t>
      </w:r>
    </w:p>
    <w:p>
      <w:pPr>
        <w:pStyle w:val="10"/>
        <w:widowControl/>
        <w:spacing w:line="360" w:lineRule="auto"/>
        <w:ind w:left="110" w:leftChars="50" w:firstLine="456" w:firstLineChars="190"/>
        <w:jc w:val="left"/>
        <w:rPr>
          <w:rFonts w:ascii="Arial" w:hAnsi="Arial" w:cs="Arial"/>
          <w:kern w:val="0"/>
          <w:sz w:val="24"/>
          <w:szCs w:val="24"/>
        </w:rPr>
      </w:pPr>
      <w:r>
        <w:rPr>
          <w:rFonts w:ascii="Arial" w:hAnsi="Arial" w:cs="Arial"/>
          <w:kern w:val="0"/>
          <w:sz w:val="24"/>
          <w:szCs w:val="24"/>
        </w:rPr>
        <w:t>会计学院双语师资力量雄厚。多年来，会计学院培养了近30名双语教师，教授9门得到加拿大CPA认可的专业课程。加拿大CPA培训项目单位也会定期派外籍教师前来进行课程辅导，保证学生掌握本专业最前沿知识。</w:t>
      </w:r>
    </w:p>
    <w:p>
      <w:pPr>
        <w:spacing w:after="0" w:line="360" w:lineRule="auto"/>
        <w:rPr>
          <w:rFonts w:ascii="Arial" w:hAnsi="Arial" w:cs="Arial" w:eastAsiaTheme="minorEastAsia"/>
          <w:sz w:val="24"/>
          <w:szCs w:val="24"/>
        </w:rPr>
      </w:pPr>
      <w:r>
        <w:rPr>
          <w:rFonts w:ascii="Arial" w:hAnsi="Arial" w:cs="Arial" w:eastAsiaTheme="minorEastAsia"/>
          <w:b/>
          <w:sz w:val="24"/>
          <w:szCs w:val="24"/>
        </w:rPr>
        <w:t>优势三：</w:t>
      </w:r>
      <w:r>
        <w:rPr>
          <w:rFonts w:ascii="Arial" w:hAnsi="Arial" w:cs="Arial" w:eastAsiaTheme="minorEastAsia"/>
          <w:sz w:val="24"/>
          <w:szCs w:val="24"/>
        </w:rPr>
        <w:t>双语教学</w:t>
      </w:r>
    </w:p>
    <w:p>
      <w:pPr>
        <w:spacing w:after="0" w:line="360" w:lineRule="auto"/>
        <w:ind w:firstLine="567"/>
        <w:rPr>
          <w:rFonts w:ascii="Arial" w:hAnsi="Arial" w:cs="Arial" w:eastAsiaTheme="minorEastAsia"/>
          <w:sz w:val="24"/>
          <w:szCs w:val="24"/>
        </w:rPr>
      </w:pPr>
      <w:r>
        <w:rPr>
          <w:rFonts w:ascii="Arial" w:hAnsi="Arial" w:cs="Arial" w:eastAsiaTheme="minorEastAsia"/>
          <w:sz w:val="24"/>
          <w:szCs w:val="24"/>
        </w:rPr>
        <w:t>加拿大CPA课程全部采用英文原版教材，由哈尔滨商业大学会计学院教师采用双语教学形式授课，并聘有外籍教师采用英文串讲授课，适当配有网上教学。为了使学生能适应双语课程的教学，特为学生加强了英语口语教学。</w:t>
      </w:r>
    </w:p>
    <w:p>
      <w:pPr>
        <w:spacing w:after="0" w:line="360" w:lineRule="auto"/>
        <w:rPr>
          <w:rFonts w:ascii="Arial" w:hAnsi="Arial" w:cs="Arial"/>
          <w:b/>
          <w:sz w:val="24"/>
          <w:szCs w:val="24"/>
        </w:rPr>
      </w:pPr>
    </w:p>
    <w:p>
      <w:pPr>
        <w:spacing w:after="0" w:line="360" w:lineRule="auto"/>
        <w:rPr>
          <w:rFonts w:ascii="Arial" w:hAnsi="Arial" w:cs="Arial" w:eastAsiaTheme="minorEastAsia"/>
          <w:b/>
          <w:sz w:val="24"/>
          <w:szCs w:val="24"/>
        </w:rPr>
      </w:pPr>
      <w:r>
        <w:rPr>
          <w:rFonts w:ascii="Arial" w:hAnsi="Arial" w:cs="Arial" w:eastAsiaTheme="minorEastAsia"/>
          <w:b/>
          <w:sz w:val="24"/>
          <w:szCs w:val="24"/>
        </w:rPr>
        <w:t>课程介绍</w:t>
      </w:r>
    </w:p>
    <w:p>
      <w:pPr>
        <w:pStyle w:val="10"/>
        <w:spacing w:line="360" w:lineRule="auto"/>
        <w:ind w:left="110" w:leftChars="50" w:firstLine="456" w:firstLineChars="190"/>
        <w:jc w:val="left"/>
        <w:rPr>
          <w:rFonts w:ascii="Arial" w:hAnsi="Arial" w:cs="Arial" w:eastAsiaTheme="minorEastAsia"/>
          <w:kern w:val="0"/>
          <w:sz w:val="24"/>
          <w:szCs w:val="24"/>
        </w:rPr>
      </w:pPr>
      <w:r>
        <w:rPr>
          <w:rFonts w:ascii="Arial" w:hAnsi="Arial" w:cs="Arial" w:eastAsiaTheme="minorEastAsia"/>
          <w:kern w:val="0"/>
          <w:sz w:val="24"/>
          <w:szCs w:val="24"/>
        </w:rPr>
        <w:t>该专业方向的学生除了学习会计学专业主修课程外，共加修9门</w:t>
      </w:r>
      <w:r>
        <w:rPr>
          <w:rFonts w:hint="eastAsia" w:ascii="Arial" w:hAnsi="Arial" w:cs="Arial" w:eastAsiaTheme="minorEastAsia"/>
          <w:kern w:val="0"/>
          <w:sz w:val="24"/>
          <w:szCs w:val="24"/>
        </w:rPr>
        <w:t>核心</w:t>
      </w:r>
      <w:r>
        <w:rPr>
          <w:rFonts w:ascii="Arial" w:hAnsi="Arial" w:cs="Arial" w:eastAsiaTheme="minorEastAsia"/>
          <w:kern w:val="0"/>
          <w:sz w:val="24"/>
          <w:szCs w:val="24"/>
        </w:rPr>
        <w:t>专业课程，全部使用</w:t>
      </w:r>
      <w:r>
        <w:rPr>
          <w:rFonts w:hint="eastAsia" w:ascii="Arial" w:hAnsi="Arial" w:cs="Arial" w:eastAsiaTheme="minorEastAsia"/>
          <w:kern w:val="0"/>
          <w:sz w:val="24"/>
          <w:szCs w:val="24"/>
        </w:rPr>
        <w:t>英文</w:t>
      </w:r>
      <w:r>
        <w:rPr>
          <w:rFonts w:ascii="Arial" w:hAnsi="Arial" w:cs="Arial" w:eastAsiaTheme="minorEastAsia"/>
          <w:kern w:val="0"/>
          <w:sz w:val="24"/>
          <w:szCs w:val="24"/>
        </w:rPr>
        <w:t>原版教材。这9门课程采用双语授课的方式进行，具体包括：1. Introductory Financial Accounting；2. Intermediate Financial Accounting 1；3. Introductory Management Accounting；4. Intermediate Financial Accounting 2；5. Intermediate Management Accounting；6. Audit and Assurance；7. Corporate Finance；8. Advanced Financial Reporting；9. Performance management。</w:t>
      </w:r>
    </w:p>
    <w:p>
      <w:pPr>
        <w:pStyle w:val="10"/>
        <w:spacing w:line="360" w:lineRule="auto"/>
        <w:ind w:left="110" w:leftChars="50" w:firstLine="456" w:firstLineChars="190"/>
        <w:rPr>
          <w:rFonts w:ascii="Arial" w:hAnsi="Arial" w:cs="Arial" w:eastAsiaTheme="minorEastAsia"/>
          <w:kern w:val="0"/>
          <w:sz w:val="24"/>
          <w:szCs w:val="24"/>
        </w:rPr>
      </w:pPr>
      <w:r>
        <w:rPr>
          <w:rFonts w:ascii="Arial" w:hAnsi="Arial" w:cs="Arial" w:eastAsiaTheme="minorEastAsia"/>
          <w:kern w:val="0"/>
          <w:sz w:val="24"/>
          <w:szCs w:val="24"/>
        </w:rPr>
        <w:t>上述9门课程，学生只需取得校内单科</w:t>
      </w:r>
      <w:r>
        <w:rPr>
          <w:rFonts w:hint="eastAsia" w:ascii="Arial" w:hAnsi="Arial" w:cs="Arial" w:eastAsiaTheme="minorEastAsia"/>
          <w:kern w:val="0"/>
          <w:sz w:val="24"/>
          <w:szCs w:val="24"/>
        </w:rPr>
        <w:t>6</w:t>
      </w:r>
      <w:r>
        <w:rPr>
          <w:rFonts w:ascii="Arial" w:hAnsi="Arial" w:cs="Arial" w:eastAsiaTheme="minorEastAsia"/>
          <w:kern w:val="0"/>
          <w:sz w:val="24"/>
          <w:szCs w:val="24"/>
        </w:rPr>
        <w:t>0</w:t>
      </w:r>
      <w:r>
        <w:rPr>
          <w:rFonts w:hint="eastAsia" w:ascii="Arial" w:hAnsi="Arial" w:cs="Arial" w:eastAsiaTheme="minorEastAsia"/>
          <w:kern w:val="0"/>
          <w:sz w:val="24"/>
          <w:szCs w:val="24"/>
        </w:rPr>
        <w:t>分、平均</w:t>
      </w:r>
      <w:r>
        <w:rPr>
          <w:rFonts w:ascii="Arial" w:hAnsi="Arial" w:cs="Arial" w:eastAsiaTheme="minorEastAsia"/>
          <w:kern w:val="0"/>
          <w:sz w:val="24"/>
          <w:szCs w:val="24"/>
        </w:rPr>
        <w:t>65分的成绩，即可以取得加拿大CPA的学分认可，视同通过了这9门课程的全球考考试。</w:t>
      </w:r>
    </w:p>
    <w:p>
      <w:pPr>
        <w:pStyle w:val="10"/>
        <w:spacing w:line="360" w:lineRule="auto"/>
        <w:ind w:left="110" w:leftChars="50" w:firstLine="360" w:firstLineChars="150"/>
        <w:rPr>
          <w:rFonts w:ascii="Arial" w:hAnsi="Arial" w:cs="Arial" w:eastAsiaTheme="minorEastAsia"/>
          <w:kern w:val="0"/>
          <w:sz w:val="24"/>
          <w:szCs w:val="24"/>
        </w:rPr>
      </w:pPr>
    </w:p>
    <w:p>
      <w:pPr>
        <w:spacing w:after="0" w:line="360" w:lineRule="auto"/>
        <w:rPr>
          <w:rFonts w:ascii="Arial" w:hAnsi="Arial" w:cs="Arial" w:eastAsiaTheme="minorEastAsia"/>
          <w:sz w:val="24"/>
          <w:szCs w:val="24"/>
        </w:rPr>
      </w:pPr>
      <w:r>
        <w:rPr>
          <w:rFonts w:hint="eastAsia" w:ascii="Arial" w:hAnsi="Arial" w:cs="Arial" w:eastAsiaTheme="minorEastAsia"/>
          <w:b/>
          <w:sz w:val="24"/>
          <w:szCs w:val="24"/>
        </w:rPr>
        <w:t>遴选对象：</w:t>
      </w:r>
      <w:r>
        <w:rPr>
          <w:rFonts w:hint="eastAsia" w:ascii="Arial" w:hAnsi="Arial" w:cs="Arial" w:eastAsiaTheme="minorEastAsia"/>
          <w:bCs/>
          <w:sz w:val="24"/>
          <w:szCs w:val="24"/>
        </w:rPr>
        <w:t>外语高考成绩在</w:t>
      </w:r>
      <w:r>
        <w:rPr>
          <w:rFonts w:hint="default" w:ascii="Arial" w:hAnsi="Arial" w:cs="Arial" w:eastAsiaTheme="minorEastAsia"/>
          <w:bCs/>
          <w:sz w:val="24"/>
          <w:szCs w:val="24"/>
        </w:rPr>
        <w:t>98</w:t>
      </w:r>
      <w:r>
        <w:rPr>
          <w:rFonts w:hint="eastAsia" w:ascii="Arial" w:hAnsi="Arial" w:cs="Arial" w:eastAsiaTheme="minorEastAsia"/>
          <w:bCs/>
          <w:sz w:val="24"/>
          <w:szCs w:val="24"/>
        </w:rPr>
        <w:t>分及以上的哈尔滨商业大学2023级新生（不包括对口招生、少数民族预科、专升本、艺术类、高水平运动队、定向、委托培养等特殊招生类型学生</w:t>
      </w:r>
      <w:r>
        <w:rPr>
          <w:rFonts w:ascii="Arial" w:hAnsi="Arial" w:cs="Arial" w:eastAsiaTheme="minorEastAsia"/>
          <w:bCs/>
          <w:sz w:val="24"/>
          <w:szCs w:val="24"/>
        </w:rPr>
        <w:t>）</w:t>
      </w:r>
    </w:p>
    <w:p>
      <w:pPr>
        <w:spacing w:after="0" w:line="360" w:lineRule="auto"/>
        <w:rPr>
          <w:rFonts w:ascii="Arial" w:hAnsi="Arial" w:cs="Arial" w:eastAsiaTheme="minorEastAsia"/>
          <w:sz w:val="24"/>
          <w:szCs w:val="24"/>
        </w:rPr>
      </w:pPr>
    </w:p>
    <w:p>
      <w:pPr>
        <w:pStyle w:val="10"/>
        <w:widowControl/>
        <w:spacing w:line="360" w:lineRule="auto"/>
        <w:ind w:firstLine="0" w:firstLineChars="0"/>
        <w:rPr>
          <w:rFonts w:ascii="Arial" w:hAnsi="Arial" w:cs="Arial" w:eastAsiaTheme="minorEastAsia"/>
          <w:sz w:val="24"/>
          <w:szCs w:val="24"/>
        </w:rPr>
      </w:pPr>
      <w:r>
        <w:rPr>
          <w:rFonts w:ascii="Arial" w:hAnsi="Arial" w:cs="Arial" w:eastAsiaTheme="minorEastAsia"/>
          <w:b/>
          <w:kern w:val="0"/>
          <w:sz w:val="24"/>
          <w:szCs w:val="24"/>
        </w:rPr>
        <w:t>招生人数：</w:t>
      </w:r>
      <w:r>
        <w:rPr>
          <w:rFonts w:ascii="Arial" w:hAnsi="Arial" w:cs="Arial" w:eastAsiaTheme="minorEastAsia"/>
          <w:kern w:val="0"/>
          <w:sz w:val="24"/>
          <w:szCs w:val="24"/>
        </w:rPr>
        <w:t xml:space="preserve"> </w:t>
      </w:r>
      <w:r>
        <w:rPr>
          <w:rFonts w:ascii="Arial" w:hAnsi="Arial" w:cs="Arial" w:eastAsiaTheme="minorEastAsia"/>
          <w:sz w:val="24"/>
          <w:szCs w:val="24"/>
        </w:rPr>
        <w:t>202</w:t>
      </w:r>
      <w:r>
        <w:rPr>
          <w:rFonts w:hint="eastAsia" w:ascii="Arial" w:hAnsi="Arial" w:cs="Arial" w:eastAsiaTheme="minorEastAsia"/>
          <w:sz w:val="24"/>
          <w:szCs w:val="24"/>
        </w:rPr>
        <w:t>3</w:t>
      </w:r>
      <w:r>
        <w:rPr>
          <w:rFonts w:ascii="Arial" w:hAnsi="Arial" w:cs="Arial" w:eastAsiaTheme="minorEastAsia"/>
          <w:sz w:val="24"/>
          <w:szCs w:val="24"/>
        </w:rPr>
        <w:t>年该专业计划拟招收40人以内。通过遴选考试并确认就读本专业将办理学籍变动。</w:t>
      </w:r>
    </w:p>
    <w:p>
      <w:pPr>
        <w:pStyle w:val="10"/>
        <w:widowControl/>
        <w:spacing w:line="360" w:lineRule="auto"/>
        <w:ind w:firstLine="0" w:firstLineChars="0"/>
        <w:rPr>
          <w:rFonts w:ascii="Arial" w:hAnsi="Arial" w:cs="Arial" w:eastAsiaTheme="minorEastAsia"/>
          <w:sz w:val="24"/>
          <w:szCs w:val="24"/>
        </w:rPr>
      </w:pPr>
    </w:p>
    <w:p>
      <w:pPr>
        <w:spacing w:after="0" w:line="360" w:lineRule="auto"/>
        <w:rPr>
          <w:rFonts w:ascii="Arial" w:hAnsi="Arial" w:cs="Arial" w:eastAsiaTheme="minorEastAsia"/>
          <w:b/>
          <w:sz w:val="24"/>
          <w:szCs w:val="24"/>
        </w:rPr>
      </w:pPr>
      <w:r>
        <w:rPr>
          <w:rFonts w:ascii="Arial" w:hAnsi="Arial" w:cs="Arial" w:eastAsiaTheme="minorEastAsia"/>
          <w:b/>
          <w:sz w:val="24"/>
          <w:szCs w:val="24"/>
        </w:rPr>
        <w:t>学费</w:t>
      </w:r>
    </w:p>
    <w:p>
      <w:pPr>
        <w:spacing w:after="0" w:line="360" w:lineRule="auto"/>
        <w:ind w:firstLine="480" w:firstLineChars="200"/>
        <w:rPr>
          <w:rFonts w:ascii="Arial" w:hAnsi="Arial" w:cs="Arial" w:eastAsiaTheme="minorEastAsia"/>
          <w:sz w:val="24"/>
          <w:szCs w:val="24"/>
        </w:rPr>
      </w:pPr>
      <w:r>
        <w:rPr>
          <w:rFonts w:ascii="Arial" w:hAnsi="Arial" w:cs="Arial" w:eastAsiaTheme="minorEastAsia"/>
          <w:kern w:val="2"/>
          <w:sz w:val="24"/>
          <w:szCs w:val="24"/>
        </w:rPr>
        <w:t>前三个学年，在正常学费基础上，学</w:t>
      </w:r>
      <w:r>
        <w:rPr>
          <w:rFonts w:ascii="Arial" w:hAnsi="Arial" w:cs="Arial" w:eastAsiaTheme="minorEastAsia"/>
          <w:sz w:val="24"/>
          <w:szCs w:val="24"/>
        </w:rPr>
        <w:t>校向会计学（加拿大CPA方向）的学生每年加收CPA专业课程学费9000元，总计27000元。如果学生参加加拿大CPA后续阶段或HKICPA的考试，其费用自行负担。</w:t>
      </w:r>
    </w:p>
    <w:p>
      <w:pPr>
        <w:spacing w:after="0" w:line="360" w:lineRule="auto"/>
        <w:ind w:firstLine="480" w:firstLineChars="200"/>
        <w:rPr>
          <w:rFonts w:ascii="Arial" w:hAnsi="Arial" w:cs="Arial" w:eastAsiaTheme="minorEastAsia"/>
          <w:sz w:val="24"/>
          <w:szCs w:val="24"/>
        </w:rPr>
      </w:pPr>
    </w:p>
    <w:p>
      <w:pPr>
        <w:spacing w:after="0" w:line="360" w:lineRule="auto"/>
        <w:rPr>
          <w:rFonts w:ascii="Arial" w:hAnsi="Arial" w:cs="Arial" w:eastAsiaTheme="minorEastAsia"/>
          <w:b/>
          <w:sz w:val="24"/>
          <w:szCs w:val="24"/>
        </w:rPr>
      </w:pPr>
      <w:r>
        <w:rPr>
          <w:rFonts w:hint="eastAsia" w:ascii="Arial" w:hAnsi="Arial" w:cs="Arial" w:eastAsiaTheme="minorEastAsia"/>
          <w:b/>
          <w:sz w:val="24"/>
          <w:szCs w:val="24"/>
        </w:rPr>
        <w:t>遴选考试时间</w:t>
      </w:r>
      <w:r>
        <w:rPr>
          <w:rFonts w:ascii="Arial" w:hAnsi="Arial" w:cs="Arial" w:eastAsiaTheme="minorEastAsia"/>
          <w:b/>
          <w:sz w:val="24"/>
          <w:szCs w:val="24"/>
        </w:rPr>
        <w:t>：</w:t>
      </w:r>
    </w:p>
    <w:p>
      <w:pPr>
        <w:spacing w:after="0" w:line="360" w:lineRule="auto"/>
        <w:ind w:firstLine="480" w:firstLineChars="200"/>
        <w:rPr>
          <w:rFonts w:hint="default" w:ascii="Arial" w:hAnsi="Arial" w:cs="Arial" w:eastAsiaTheme="minorEastAsia"/>
          <w:sz w:val="24"/>
          <w:szCs w:val="24"/>
          <w:lang w:val="en-US" w:eastAsia="zh-Hans"/>
        </w:rPr>
      </w:pPr>
      <w:r>
        <w:rPr>
          <w:rFonts w:hint="default" w:ascii="Arial" w:hAnsi="Arial" w:cs="Arial" w:eastAsiaTheme="minorEastAsia"/>
          <w:kern w:val="2"/>
          <w:sz w:val="24"/>
          <w:szCs w:val="24"/>
        </w:rPr>
        <w:t>9</w:t>
      </w:r>
      <w:r>
        <w:rPr>
          <w:rFonts w:hint="eastAsia" w:ascii="Arial" w:hAnsi="Arial" w:cs="Arial" w:eastAsiaTheme="minorEastAsia"/>
          <w:kern w:val="2"/>
          <w:sz w:val="24"/>
          <w:szCs w:val="24"/>
          <w:lang w:val="en-US" w:eastAsia="zh-Hans"/>
        </w:rPr>
        <w:t>月</w:t>
      </w:r>
      <w:r>
        <w:rPr>
          <w:rFonts w:hint="default" w:ascii="Arial" w:hAnsi="Arial" w:cs="Arial" w:eastAsiaTheme="minorEastAsia"/>
          <w:kern w:val="2"/>
          <w:sz w:val="24"/>
          <w:szCs w:val="24"/>
          <w:lang w:eastAsia="zh-Hans"/>
        </w:rPr>
        <w:t>22</w:t>
      </w:r>
      <w:r>
        <w:rPr>
          <w:rFonts w:hint="eastAsia" w:ascii="Arial" w:hAnsi="Arial" w:cs="Arial" w:eastAsiaTheme="minorEastAsia"/>
          <w:kern w:val="2"/>
          <w:sz w:val="24"/>
          <w:szCs w:val="24"/>
          <w:lang w:val="en-US" w:eastAsia="zh-Hans"/>
        </w:rPr>
        <w:t>日</w:t>
      </w:r>
    </w:p>
    <w:p>
      <w:pPr>
        <w:spacing w:after="0" w:line="360" w:lineRule="auto"/>
        <w:ind w:firstLine="480" w:firstLineChars="200"/>
        <w:rPr>
          <w:rFonts w:ascii="Arial" w:hAnsi="Arial" w:cs="Arial" w:eastAsiaTheme="minorEastAsia"/>
          <w:sz w:val="24"/>
          <w:szCs w:val="24"/>
        </w:rPr>
      </w:pPr>
    </w:p>
    <w:p>
      <w:pPr>
        <w:spacing w:after="0" w:line="360" w:lineRule="auto"/>
        <w:rPr>
          <w:rFonts w:ascii="Arial" w:hAnsi="Arial" w:cs="Arial" w:eastAsiaTheme="minorEastAsia"/>
          <w:b/>
          <w:sz w:val="24"/>
          <w:szCs w:val="24"/>
        </w:rPr>
      </w:pPr>
      <w:r>
        <w:rPr>
          <w:rFonts w:ascii="Arial" w:hAnsi="Arial" w:cs="Arial" w:eastAsiaTheme="minorEastAsia"/>
          <w:b/>
          <w:sz w:val="24"/>
          <w:szCs w:val="24"/>
        </w:rPr>
        <w:t>咨询电话：</w:t>
      </w:r>
    </w:p>
    <w:p>
      <w:pPr>
        <w:spacing w:after="0" w:line="360" w:lineRule="auto"/>
        <w:ind w:firstLine="720" w:firstLineChars="0"/>
        <w:rPr>
          <w:rFonts w:ascii="Arial" w:hAnsi="Arial" w:cs="Arial" w:eastAsiaTheme="minorEastAsia"/>
          <w:kern w:val="2"/>
          <w:sz w:val="24"/>
          <w:szCs w:val="24"/>
        </w:rPr>
      </w:pPr>
      <w:r>
        <w:rPr>
          <w:rFonts w:ascii="Arial" w:hAnsi="Arial" w:cs="Arial" w:eastAsiaTheme="minorEastAsia"/>
          <w:kern w:val="2"/>
          <w:sz w:val="24"/>
          <w:szCs w:val="24"/>
        </w:rPr>
        <w:t>李老师：15146003317</w:t>
      </w:r>
    </w:p>
    <w:p>
      <w:pPr>
        <w:spacing w:after="0" w:line="360" w:lineRule="auto"/>
        <w:ind w:firstLine="720" w:firstLineChars="0"/>
        <w:rPr>
          <w:rFonts w:ascii="Arial" w:hAnsi="Arial" w:cs="Arial" w:eastAsiaTheme="minorEastAsia"/>
          <w:kern w:val="2"/>
          <w:sz w:val="24"/>
          <w:szCs w:val="24"/>
        </w:rPr>
      </w:pPr>
      <w:r>
        <w:rPr>
          <w:rFonts w:ascii="Arial" w:hAnsi="Arial" w:cs="Arial" w:eastAsiaTheme="minorEastAsia"/>
          <w:kern w:val="2"/>
          <w:sz w:val="24"/>
          <w:szCs w:val="24"/>
        </w:rPr>
        <w:t>徐老师：13314516610</w:t>
      </w:r>
    </w:p>
    <w:p>
      <w:pPr>
        <w:spacing w:after="0" w:line="360" w:lineRule="auto"/>
        <w:ind w:firstLine="720" w:firstLineChars="0"/>
        <w:rPr>
          <w:rFonts w:ascii="Arial" w:hAnsi="Arial" w:cs="Arial" w:eastAsiaTheme="minorEastAsia"/>
          <w:kern w:val="2"/>
          <w:sz w:val="24"/>
          <w:szCs w:val="24"/>
        </w:rPr>
      </w:pPr>
      <w:r>
        <w:rPr>
          <w:rFonts w:ascii="Arial" w:hAnsi="Arial" w:cs="Arial" w:eastAsiaTheme="minorEastAsia"/>
          <w:kern w:val="2"/>
          <w:sz w:val="24"/>
          <w:szCs w:val="24"/>
        </w:rPr>
        <w:t>李老师：18745715545</w:t>
      </w:r>
      <w:bookmarkStart w:id="1" w:name="_GoBack"/>
      <w:bookmarkEnd w:id="1"/>
    </w:p>
    <w:p>
      <w:pPr>
        <w:spacing w:after="0" w:line="360" w:lineRule="auto"/>
        <w:rPr>
          <w:rFonts w:cs="Arial" w:asciiTheme="minorEastAsia" w:hAnsiTheme="minorEastAsia" w:eastAsiaTheme="minorEastAsia"/>
          <w:b/>
          <w:sz w:val="24"/>
          <w:szCs w:val="24"/>
          <w:highlight w:val="yellow"/>
        </w:rPr>
      </w:pPr>
    </w:p>
    <w:p>
      <w:pPr>
        <w:spacing w:after="0" w:line="360" w:lineRule="auto"/>
        <w:rPr>
          <w:rFonts w:ascii="Arial" w:hAnsi="Arial" w:cs="Arial" w:eastAsiaTheme="minorEastAsia"/>
          <w:b/>
          <w:sz w:val="24"/>
          <w:szCs w:val="24"/>
        </w:rPr>
      </w:pPr>
      <w:r>
        <w:rPr>
          <w:rFonts w:ascii="Arial" w:hAnsi="Arial" w:cs="Arial" w:eastAsiaTheme="minorEastAsia"/>
          <w:b/>
          <w:sz w:val="24"/>
          <w:szCs w:val="24"/>
        </w:rPr>
        <w:t>报名</w:t>
      </w:r>
      <w:r>
        <w:rPr>
          <w:rFonts w:hint="eastAsia" w:ascii="Arial" w:hAnsi="Arial" w:cs="Arial" w:eastAsiaTheme="minorEastAsia"/>
          <w:b/>
          <w:sz w:val="24"/>
          <w:szCs w:val="24"/>
        </w:rPr>
        <w:t>时间及方式</w:t>
      </w:r>
      <w:r>
        <w:rPr>
          <w:rFonts w:ascii="Arial" w:hAnsi="Arial" w:cs="Arial" w:eastAsiaTheme="minorEastAsia"/>
          <w:b/>
          <w:sz w:val="24"/>
          <w:szCs w:val="24"/>
        </w:rPr>
        <w:t>：</w:t>
      </w:r>
    </w:p>
    <w:p>
      <w:pPr>
        <w:spacing w:after="0" w:line="360" w:lineRule="auto"/>
        <w:ind w:firstLine="480" w:firstLineChars="200"/>
        <w:rPr>
          <w:rFonts w:ascii="Arial" w:hAnsi="Arial" w:cs="Arial" w:eastAsiaTheme="minorEastAsia"/>
          <w:kern w:val="2"/>
          <w:sz w:val="24"/>
          <w:szCs w:val="24"/>
        </w:rPr>
      </w:pPr>
      <w:r>
        <w:rPr>
          <w:rFonts w:hint="eastAsia" w:ascii="Arial" w:hAnsi="Arial" w:cs="Arial" w:eastAsiaTheme="minorEastAsia"/>
          <w:kern w:val="2"/>
          <w:sz w:val="24"/>
          <w:szCs w:val="24"/>
        </w:rPr>
        <w:t>报名请扫描下方小程序码</w:t>
      </w:r>
      <w:r>
        <w:rPr>
          <w:rFonts w:ascii="Arial" w:hAnsi="Arial" w:cs="Arial" w:eastAsiaTheme="minorEastAsia"/>
          <w:kern w:val="2"/>
          <w:sz w:val="24"/>
          <w:szCs w:val="24"/>
        </w:rPr>
        <w:t>。</w:t>
      </w:r>
      <w:r>
        <w:rPr>
          <w:rFonts w:hint="eastAsia" w:ascii="Arial" w:hAnsi="Arial" w:cs="Arial" w:eastAsiaTheme="minorEastAsia"/>
          <w:kern w:val="2"/>
          <w:sz w:val="24"/>
          <w:szCs w:val="24"/>
        </w:rPr>
        <w:t>报名时间截至</w:t>
      </w:r>
      <w:r>
        <w:rPr>
          <w:rFonts w:ascii="Arial" w:hAnsi="Arial" w:cs="Arial" w:eastAsiaTheme="minorEastAsia"/>
          <w:kern w:val="2"/>
          <w:sz w:val="24"/>
          <w:szCs w:val="24"/>
        </w:rPr>
        <w:t>9</w:t>
      </w:r>
      <w:r>
        <w:rPr>
          <w:rFonts w:hint="eastAsia" w:ascii="Arial" w:hAnsi="Arial" w:cs="Arial" w:eastAsiaTheme="minorEastAsia"/>
          <w:kern w:val="2"/>
          <w:sz w:val="24"/>
          <w:szCs w:val="24"/>
        </w:rPr>
        <w:t>月</w:t>
      </w:r>
      <w:r>
        <w:rPr>
          <w:rFonts w:hint="default" w:ascii="Arial" w:hAnsi="Arial" w:cs="Arial" w:eastAsiaTheme="minorEastAsia"/>
          <w:kern w:val="2"/>
          <w:sz w:val="24"/>
          <w:szCs w:val="24"/>
        </w:rPr>
        <w:t>20</w:t>
      </w:r>
      <w:r>
        <w:rPr>
          <w:rFonts w:hint="eastAsia" w:ascii="Arial" w:hAnsi="Arial" w:cs="Arial" w:eastAsiaTheme="minorEastAsia"/>
          <w:kern w:val="2"/>
          <w:sz w:val="24"/>
          <w:szCs w:val="24"/>
        </w:rPr>
        <w:t>日</w:t>
      </w:r>
      <w:r>
        <w:rPr>
          <w:rFonts w:ascii="Arial" w:hAnsi="Arial" w:cs="Arial" w:eastAsiaTheme="minorEastAsia"/>
          <w:kern w:val="2"/>
          <w:sz w:val="24"/>
          <w:szCs w:val="24"/>
        </w:rPr>
        <w:t>24</w:t>
      </w:r>
      <w:r>
        <w:rPr>
          <w:rFonts w:hint="eastAsia" w:ascii="Arial" w:hAnsi="Arial" w:cs="Arial" w:eastAsiaTheme="minorEastAsia"/>
          <w:kern w:val="2"/>
          <w:sz w:val="24"/>
          <w:szCs w:val="24"/>
        </w:rPr>
        <w:t>:</w:t>
      </w:r>
      <w:r>
        <w:rPr>
          <w:rFonts w:ascii="Arial" w:hAnsi="Arial" w:cs="Arial" w:eastAsiaTheme="minorEastAsia"/>
          <w:kern w:val="2"/>
          <w:sz w:val="24"/>
          <w:szCs w:val="24"/>
        </w:rPr>
        <w:t>00。</w:t>
      </w:r>
    </w:p>
    <w:p>
      <w:pPr>
        <w:spacing w:after="0" w:line="360" w:lineRule="auto"/>
        <w:ind w:firstLine="641" w:firstLineChars="200"/>
        <w:rPr>
          <w:rFonts w:ascii="Arial" w:hAnsi="Arial" w:cs="Arial" w:eastAsiaTheme="minorEastAsia"/>
          <w:kern w:val="2"/>
          <w:sz w:val="24"/>
          <w:szCs w:val="24"/>
        </w:rPr>
      </w:pPr>
      <w:r>
        <w:rPr>
          <w:rFonts w:ascii="Arial" w:hAnsi="Arial" w:cs="Arial" w:eastAsiaTheme="minorEastAsia"/>
          <w:b/>
          <w:sz w:val="32"/>
          <w:szCs w:val="32"/>
        </w:rPr>
        <w:drawing>
          <wp:anchor distT="0" distB="0" distL="114300" distR="114300" simplePos="0" relativeHeight="251659264" behindDoc="0" locked="0" layoutInCell="1" allowOverlap="1">
            <wp:simplePos x="0" y="0"/>
            <wp:positionH relativeFrom="column">
              <wp:posOffset>170180</wp:posOffset>
            </wp:positionH>
            <wp:positionV relativeFrom="paragraph">
              <wp:posOffset>47625</wp:posOffset>
            </wp:positionV>
            <wp:extent cx="1198880" cy="1369695"/>
            <wp:effectExtent l="0" t="0" r="20320" b="1905"/>
            <wp:wrapNone/>
            <wp:docPr id="2" name="图片 2" descr="5651691203279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51691203279_.pic"/>
                    <pic:cNvPicPr>
                      <a:picLocks noChangeAspect="1"/>
                    </pic:cNvPicPr>
                  </pic:nvPicPr>
                  <pic:blipFill>
                    <a:blip r:embed="rId6" cstate="print"/>
                    <a:stretch>
                      <a:fillRect/>
                    </a:stretch>
                  </pic:blipFill>
                  <pic:spPr>
                    <a:xfrm>
                      <a:off x="0" y="0"/>
                      <a:ext cx="1198880" cy="1369695"/>
                    </a:xfrm>
                    <a:prstGeom prst="rect">
                      <a:avLst/>
                    </a:prstGeom>
                  </pic:spPr>
                </pic:pic>
              </a:graphicData>
            </a:graphic>
          </wp:anchor>
        </w:drawing>
      </w:r>
    </w:p>
    <w:p>
      <w:pPr>
        <w:spacing w:after="0" w:line="360" w:lineRule="auto"/>
        <w:ind w:firstLine="567"/>
        <w:rPr>
          <w:rFonts w:ascii="Arial" w:hAnsi="Arial" w:cs="Arial" w:eastAsiaTheme="minorEastAsia"/>
          <w:kern w:val="2"/>
          <w:sz w:val="24"/>
          <w:szCs w:val="24"/>
        </w:rPr>
      </w:pPr>
    </w:p>
    <w:p>
      <w:pPr>
        <w:spacing w:after="0" w:line="360" w:lineRule="auto"/>
        <w:ind w:firstLine="567"/>
        <w:rPr>
          <w:rFonts w:ascii="Arial" w:hAnsi="Arial" w:cs="Arial" w:eastAsiaTheme="minorEastAsia"/>
          <w:kern w:val="2"/>
          <w:sz w:val="24"/>
          <w:szCs w:val="24"/>
        </w:rPr>
      </w:pPr>
    </w:p>
    <w:p>
      <w:pPr>
        <w:spacing w:after="0" w:line="360" w:lineRule="auto"/>
        <w:rPr>
          <w:rFonts w:ascii="Arial" w:hAnsi="Arial" w:cs="Arial" w:eastAsiaTheme="minorEastAsia"/>
          <w:b/>
          <w:sz w:val="32"/>
          <w:szCs w:val="32"/>
        </w:rPr>
      </w:pPr>
    </w:p>
    <w:p>
      <w:pPr>
        <w:spacing w:after="0" w:line="360" w:lineRule="auto"/>
        <w:rPr>
          <w:rFonts w:ascii="Arial" w:hAnsi="Arial" w:cs="Arial" w:eastAsiaTheme="minorEastAsia"/>
          <w:b/>
          <w:sz w:val="32"/>
          <w:szCs w:val="32"/>
        </w:rPr>
      </w:pPr>
    </w:p>
    <w:p>
      <w:pPr>
        <w:spacing w:after="0" w:line="360" w:lineRule="auto"/>
        <w:rPr>
          <w:rFonts w:ascii="Arial" w:hAnsi="Arial" w:cs="Arial" w:eastAsiaTheme="minorEastAsia"/>
          <w:b/>
          <w:sz w:val="32"/>
          <w:szCs w:val="32"/>
        </w:rPr>
      </w:pPr>
    </w:p>
    <w:p>
      <w:pPr>
        <w:spacing w:after="0" w:line="360" w:lineRule="auto"/>
        <w:rPr>
          <w:rFonts w:ascii="Arial" w:hAnsi="Arial" w:cs="Arial" w:eastAsiaTheme="minorEastAsia"/>
          <w:b/>
          <w:sz w:val="32"/>
          <w:szCs w:val="32"/>
        </w:rPr>
      </w:pPr>
      <w:r>
        <w:rPr>
          <w:rFonts w:ascii="Arial" w:hAnsi="Arial" w:cs="Arial" w:eastAsiaTheme="minorEastAsia"/>
          <w:b/>
          <w:sz w:val="32"/>
          <w:szCs w:val="32"/>
        </w:rPr>
        <w:t>附</w:t>
      </w:r>
      <w:r>
        <w:rPr>
          <w:rFonts w:ascii="Arial" w:hAnsi="Arial" w:cs="Arial" w:eastAsiaTheme="minorEastAsia"/>
          <w:b/>
          <w:sz w:val="32"/>
          <w:szCs w:val="32"/>
        </w:rPr>
        <w:fldChar w:fldCharType="begin"/>
      </w:r>
      <w:r>
        <w:rPr>
          <w:rFonts w:ascii="Arial" w:hAnsi="Arial" w:cs="Arial" w:eastAsiaTheme="minorEastAsia"/>
          <w:b/>
          <w:sz w:val="32"/>
          <w:szCs w:val="32"/>
        </w:rPr>
        <w:instrText xml:space="preserve"> = 1 \* ROMAN </w:instrText>
      </w:r>
      <w:r>
        <w:rPr>
          <w:rFonts w:ascii="Arial" w:hAnsi="Arial" w:cs="Arial" w:eastAsiaTheme="minorEastAsia"/>
          <w:b/>
          <w:sz w:val="32"/>
          <w:szCs w:val="32"/>
        </w:rPr>
        <w:fldChar w:fldCharType="separate"/>
      </w:r>
      <w:r>
        <w:rPr>
          <w:rFonts w:ascii="Arial" w:hAnsi="Arial" w:cs="Arial" w:eastAsiaTheme="minorEastAsia"/>
          <w:b/>
          <w:sz w:val="32"/>
          <w:szCs w:val="32"/>
        </w:rPr>
        <w:t>I</w:t>
      </w:r>
      <w:r>
        <w:rPr>
          <w:rFonts w:ascii="Arial" w:hAnsi="Arial" w:cs="Arial" w:eastAsiaTheme="minorEastAsia"/>
          <w:b/>
          <w:sz w:val="32"/>
          <w:szCs w:val="32"/>
        </w:rPr>
        <w:fldChar w:fldCharType="end"/>
      </w:r>
      <w:r>
        <w:rPr>
          <w:rFonts w:ascii="Arial" w:hAnsi="Arial" w:cs="Arial" w:eastAsiaTheme="minorEastAsia"/>
          <w:b/>
          <w:sz w:val="32"/>
          <w:szCs w:val="32"/>
        </w:rPr>
        <w:t>：哈商大会计学院现有合作院校和实习基地</w:t>
      </w:r>
    </w:p>
    <w:p>
      <w:pPr>
        <w:spacing w:after="0" w:line="360" w:lineRule="auto"/>
        <w:ind w:firstLine="480" w:firstLineChars="200"/>
        <w:rPr>
          <w:rFonts w:ascii="Arial" w:hAnsi="Arial" w:cs="Arial" w:eastAsiaTheme="minorEastAsia"/>
          <w:sz w:val="24"/>
          <w:szCs w:val="24"/>
        </w:rPr>
      </w:pPr>
    </w:p>
    <w:p>
      <w:pPr>
        <w:spacing w:after="0" w:line="360" w:lineRule="auto"/>
        <w:rPr>
          <w:rFonts w:ascii="Arial" w:hAnsi="Arial" w:cs="Arial" w:eastAsiaTheme="minorEastAsia"/>
          <w:b/>
          <w:sz w:val="24"/>
          <w:szCs w:val="24"/>
        </w:rPr>
      </w:pPr>
      <w:r>
        <w:rPr>
          <w:rFonts w:ascii="Arial" w:hAnsi="Arial" w:cs="Arial" w:eastAsiaTheme="minorEastAsia"/>
          <w:b/>
          <w:sz w:val="24"/>
          <w:szCs w:val="24"/>
        </w:rPr>
        <w:t>合作院校：</w:t>
      </w:r>
    </w:p>
    <w:p>
      <w:pPr>
        <w:spacing w:after="0" w:line="360" w:lineRule="auto"/>
        <w:ind w:firstLine="480" w:firstLineChars="200"/>
        <w:rPr>
          <w:rFonts w:ascii="Arial" w:hAnsi="Arial" w:cs="Arial" w:eastAsiaTheme="minorEastAsia"/>
          <w:sz w:val="24"/>
          <w:szCs w:val="24"/>
        </w:rPr>
      </w:pPr>
      <w:r>
        <w:rPr>
          <w:rFonts w:ascii="Arial" w:hAnsi="Arial" w:cs="Arial" w:eastAsiaTheme="minorEastAsia"/>
          <w:sz w:val="24"/>
          <w:szCs w:val="24"/>
        </w:rPr>
        <w:t>英国利兹贝肯特大学、艾塞克斯大学、女王大学；美国田纳西大学；加拿大温尼伯大学、劳伦森大学；澳大利亚科廷大学、澳大利亚西澳大学；波兰哥白尼大学、波兰格但斯克大学、台北商业大学、台湾政治大学、东吴大学等。</w:t>
      </w:r>
    </w:p>
    <w:p>
      <w:pPr>
        <w:spacing w:after="0" w:line="360" w:lineRule="auto"/>
        <w:rPr>
          <w:rFonts w:ascii="Arial" w:hAnsi="Arial" w:cs="Arial" w:eastAsiaTheme="minorEastAsia"/>
          <w:b/>
          <w:sz w:val="24"/>
          <w:szCs w:val="24"/>
        </w:rPr>
      </w:pPr>
      <w:r>
        <w:rPr>
          <w:rFonts w:ascii="Arial" w:hAnsi="Arial" w:cs="Arial" w:eastAsiaTheme="minorEastAsia"/>
          <w:b/>
          <w:sz w:val="24"/>
          <w:szCs w:val="24"/>
        </w:rPr>
        <w:t>实习基地：</w:t>
      </w:r>
    </w:p>
    <w:p>
      <w:pPr>
        <w:spacing w:after="0" w:line="360" w:lineRule="auto"/>
        <w:ind w:firstLine="480" w:firstLineChars="200"/>
        <w:rPr>
          <w:rFonts w:ascii="Arial" w:hAnsi="Arial" w:cs="Arial" w:eastAsiaTheme="minorEastAsia"/>
          <w:sz w:val="24"/>
          <w:szCs w:val="24"/>
        </w:rPr>
      </w:pPr>
      <w:r>
        <w:rPr>
          <w:rFonts w:ascii="Arial" w:hAnsi="Arial" w:cs="Arial" w:eastAsiaTheme="minorEastAsia"/>
          <w:sz w:val="24"/>
          <w:szCs w:val="24"/>
        </w:rPr>
        <w:t>中审众环会计师事务所、中天运会计师事务所、招商银行、江海证券、均信担保公司、哈尔滨电站集团、哈药集团、中国人民财产保验公司、用友新道科技有限公司、德勤、人民同泰、安永、浙商证券、审计署驻哈办等。</w:t>
      </w:r>
    </w:p>
    <w:p>
      <w:pPr>
        <w:spacing w:after="0" w:line="360" w:lineRule="auto"/>
        <w:rPr>
          <w:rFonts w:ascii="Arial" w:hAnsi="Arial" w:cs="Arial" w:eastAsiaTheme="minorEastAsia"/>
          <w:sz w:val="24"/>
          <w:szCs w:val="24"/>
        </w:rPr>
      </w:pPr>
    </w:p>
    <w:p>
      <w:pPr>
        <w:spacing w:after="0" w:line="360" w:lineRule="auto"/>
        <w:rPr>
          <w:rFonts w:ascii="Arial" w:hAnsi="Arial" w:cs="Arial" w:eastAsiaTheme="minorEastAsia"/>
          <w:b/>
          <w:sz w:val="32"/>
          <w:szCs w:val="32"/>
        </w:rPr>
      </w:pPr>
      <w:r>
        <w:rPr>
          <w:rFonts w:ascii="Arial" w:hAnsi="Arial" w:cs="Arial" w:eastAsiaTheme="minorEastAsia"/>
          <w:b/>
          <w:sz w:val="32"/>
          <w:szCs w:val="32"/>
        </w:rPr>
        <w:t>附</w:t>
      </w:r>
      <w:r>
        <w:rPr>
          <w:rFonts w:ascii="Arial" w:hAnsi="Arial" w:cs="Arial" w:eastAsiaTheme="minorEastAsia"/>
          <w:b/>
          <w:sz w:val="32"/>
          <w:szCs w:val="32"/>
        </w:rPr>
        <w:fldChar w:fldCharType="begin"/>
      </w:r>
      <w:r>
        <w:rPr>
          <w:rFonts w:ascii="Arial" w:hAnsi="Arial" w:cs="Arial" w:eastAsiaTheme="minorEastAsia"/>
          <w:b/>
          <w:sz w:val="32"/>
          <w:szCs w:val="32"/>
        </w:rPr>
        <w:instrText xml:space="preserve"> = 2 \* ROMAN </w:instrText>
      </w:r>
      <w:r>
        <w:rPr>
          <w:rFonts w:ascii="Arial" w:hAnsi="Arial" w:cs="Arial" w:eastAsiaTheme="minorEastAsia"/>
          <w:b/>
          <w:sz w:val="32"/>
          <w:szCs w:val="32"/>
        </w:rPr>
        <w:fldChar w:fldCharType="separate"/>
      </w:r>
      <w:r>
        <w:rPr>
          <w:rFonts w:ascii="Arial" w:hAnsi="Arial" w:cs="Arial" w:eastAsiaTheme="minorEastAsia"/>
          <w:b/>
          <w:sz w:val="32"/>
          <w:szCs w:val="32"/>
        </w:rPr>
        <w:t>II</w:t>
      </w:r>
      <w:r>
        <w:rPr>
          <w:rFonts w:ascii="Arial" w:hAnsi="Arial" w:cs="Arial" w:eastAsiaTheme="minorEastAsia"/>
          <w:b/>
          <w:sz w:val="32"/>
          <w:szCs w:val="32"/>
        </w:rPr>
        <w:fldChar w:fldCharType="end"/>
      </w:r>
      <w:r>
        <w:rPr>
          <w:rFonts w:ascii="Arial" w:hAnsi="Arial" w:cs="Arial" w:eastAsiaTheme="minorEastAsia"/>
          <w:b/>
          <w:sz w:val="32"/>
          <w:szCs w:val="32"/>
        </w:rPr>
        <w:t>： CPA Canada 简介</w:t>
      </w:r>
    </w:p>
    <w:p>
      <w:pPr>
        <w:spacing w:after="0" w:line="360" w:lineRule="auto"/>
        <w:ind w:firstLine="480" w:firstLineChars="200"/>
        <w:rPr>
          <w:rFonts w:ascii="Arial" w:hAnsi="Arial" w:cs="Arial" w:eastAsiaTheme="minorEastAsia"/>
          <w:sz w:val="24"/>
          <w:szCs w:val="24"/>
        </w:rPr>
      </w:pPr>
      <w:bookmarkStart w:id="0" w:name="OLE_LINK1"/>
      <w:r>
        <w:rPr>
          <w:rFonts w:ascii="Arial" w:hAnsi="Arial" w:cs="Arial" w:eastAsiaTheme="minorEastAsia"/>
          <w:sz w:val="24"/>
          <w:szCs w:val="24"/>
        </w:rPr>
        <w:t>CPA Canada（Chartered Professional Accountants of Canada，加拿大特许专业会计师协会）是加拿大唯一的专业会计师团体，拥有会员人数近22万。CPA Canada是世界会计师团体中唯一拥有执业会计师和管理会计师两方面资源的专业团体，也是世界会计师团体中唯一有自己教育部门的专业团体，不同于世界其他会计师团体只提供认证、考试项目，CPA Canada在优化了加拿大注册会计师协会（CGA-Canada）于上世纪50年代与加拿大英属哥伦比亚大学（University of British Columbia）共同开发的会计教育课程体系后，提供的是会计基础教育课程（Preparatory Courses）和专业教育（Professional Education Program）项目，使学生在得到充分的教育、拥有专业会计师技能后，参加最后的考试（Common Final Exam），即先教育后考证。</w:t>
      </w:r>
      <w:bookmarkEnd w:id="0"/>
    </w:p>
    <w:p>
      <w:pPr>
        <w:spacing w:after="0" w:line="360" w:lineRule="auto"/>
        <w:ind w:firstLine="480" w:firstLineChars="200"/>
        <w:rPr>
          <w:rFonts w:ascii="Arial" w:hAnsi="Arial" w:cs="Arial" w:eastAsiaTheme="minorEastAsia"/>
          <w:sz w:val="24"/>
          <w:szCs w:val="24"/>
        </w:rPr>
      </w:pPr>
      <w:r>
        <w:rPr>
          <w:rFonts w:ascii="Arial" w:hAnsi="Arial" w:cs="Arial" w:eastAsiaTheme="minorEastAsia"/>
          <w:bCs/>
          <w:sz w:val="24"/>
          <w:szCs w:val="24"/>
        </w:rPr>
        <w:t>CPA Canada除了可以与另两家世界最有影响力的会计师团体——</w:t>
      </w:r>
      <w:r>
        <w:rPr>
          <w:rFonts w:ascii="Arial" w:hAnsi="Arial" w:cs="Arial" w:eastAsiaTheme="minorEastAsia"/>
          <w:sz w:val="24"/>
          <w:szCs w:val="24"/>
        </w:rPr>
        <w:t>英格兰及威尔士特许会计师协会（ICAEW）和美国注册会计师协会（AICPA）互认外，还可以与</w:t>
      </w:r>
      <w:r>
        <w:rPr>
          <w:rFonts w:ascii="Arial" w:hAnsi="Arial" w:cs="Arial" w:eastAsiaTheme="minorEastAsia"/>
          <w:bCs/>
          <w:sz w:val="24"/>
          <w:szCs w:val="24"/>
        </w:rPr>
        <w:t>全球会计联盟（Global Accounting Alliance，简称GAA）其他成员的协会资格互认，包括：</w:t>
      </w:r>
      <w:r>
        <w:rPr>
          <w:rFonts w:ascii="Arial" w:hAnsi="Arial" w:cs="Arial" w:eastAsiaTheme="minorEastAsia"/>
          <w:sz w:val="24"/>
          <w:szCs w:val="24"/>
        </w:rPr>
        <w:t>香港会计师公会（HKICPA）；澳大利亚和新西兰特许会计师协会（ICAAN）；爱尔兰特许会计师协会（ICAI）；苏格兰特许会计师协会（ICAS）；南非特许会计师协会（SAICA）。</w:t>
      </w:r>
    </w:p>
    <w:p>
      <w:pPr>
        <w:spacing w:after="0" w:line="360" w:lineRule="auto"/>
        <w:rPr>
          <w:rFonts w:ascii="Arial" w:hAnsi="Arial" w:cs="Arial" w:eastAsiaTheme="minorEastAsia"/>
          <w:sz w:val="24"/>
          <w:szCs w:val="24"/>
        </w:rPr>
      </w:pPr>
    </w:p>
    <w:p>
      <w:pPr>
        <w:spacing w:after="0" w:line="360" w:lineRule="auto"/>
        <w:rPr>
          <w:rFonts w:ascii="Arial" w:hAnsi="Arial" w:cs="Arial" w:eastAsiaTheme="minorEastAsia"/>
          <w:b/>
          <w:sz w:val="24"/>
          <w:szCs w:val="24"/>
        </w:rPr>
      </w:pPr>
      <w:r>
        <w:rPr>
          <w:rFonts w:ascii="Arial" w:hAnsi="Arial" w:cs="Arial" w:eastAsiaTheme="minorEastAsia"/>
          <w:sz w:val="24"/>
          <w:szCs w:val="24"/>
        </w:rPr>
        <w:drawing>
          <wp:anchor distT="0" distB="0" distL="114300" distR="114300" simplePos="0" relativeHeight="251660288" behindDoc="0" locked="0" layoutInCell="1" allowOverlap="1">
            <wp:simplePos x="0" y="0"/>
            <wp:positionH relativeFrom="column">
              <wp:posOffset>1670050</wp:posOffset>
            </wp:positionH>
            <wp:positionV relativeFrom="paragraph">
              <wp:posOffset>202565</wp:posOffset>
            </wp:positionV>
            <wp:extent cx="1139825" cy="1139825"/>
            <wp:effectExtent l="0" t="0" r="3175" b="3175"/>
            <wp:wrapNone/>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pic:cNvPicPr>
                      <a:picLocks noChangeAspect="1"/>
                    </pic:cNvPicPr>
                  </pic:nvPicPr>
                  <pic:blipFill>
                    <a:blip r:embed="rId7" cstate="print"/>
                    <a:stretch>
                      <a:fillRect/>
                    </a:stretch>
                  </pic:blipFill>
                  <pic:spPr>
                    <a:xfrm>
                      <a:off x="0" y="0"/>
                      <a:ext cx="1139825" cy="1139825"/>
                    </a:xfrm>
                    <a:prstGeom prst="rect">
                      <a:avLst/>
                    </a:prstGeom>
                  </pic:spPr>
                </pic:pic>
              </a:graphicData>
            </a:graphic>
          </wp:anchor>
        </w:drawing>
      </w:r>
      <w:r>
        <w:rPr>
          <w:rFonts w:ascii="Arial" w:hAnsi="Arial" w:cs="Arial" w:eastAsiaTheme="minorEastAsia"/>
          <w:b/>
          <w:sz w:val="24"/>
          <w:szCs w:val="24"/>
        </w:rPr>
        <w:t>相关链接</w:t>
      </w:r>
    </w:p>
    <w:p>
      <w:pPr>
        <w:spacing w:after="0" w:line="360" w:lineRule="auto"/>
        <w:ind w:firstLine="480" w:firstLineChars="200"/>
        <w:rPr>
          <w:rFonts w:ascii="Arial" w:hAnsi="Arial" w:cs="Arial" w:eastAsiaTheme="minorEastAsia"/>
          <w:sz w:val="24"/>
          <w:szCs w:val="24"/>
        </w:rPr>
      </w:pPr>
      <w:r>
        <w:rPr>
          <w:rFonts w:hint="eastAsia" w:ascii="Arial" w:hAnsi="Arial" w:cs="Arial" w:eastAsiaTheme="minorEastAsia"/>
          <w:sz w:val="24"/>
          <w:szCs w:val="24"/>
        </w:rPr>
        <w:t>加拿大CPA简介：</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Arial">
    <w:panose1 w:val="020B060402020202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N2M4NjQ4ZWQyYjUyZDZiNjYyODg2Yjg3NGYxMTEifQ=="/>
  </w:docVars>
  <w:rsids>
    <w:rsidRoot w:val="001D4C12"/>
    <w:rsid w:val="00022A7A"/>
    <w:rsid w:val="000C6D63"/>
    <w:rsid w:val="000F22E5"/>
    <w:rsid w:val="00124363"/>
    <w:rsid w:val="00127EBC"/>
    <w:rsid w:val="00130FDC"/>
    <w:rsid w:val="00170589"/>
    <w:rsid w:val="001D4C12"/>
    <w:rsid w:val="001E6297"/>
    <w:rsid w:val="001E6A8C"/>
    <w:rsid w:val="001F4E4E"/>
    <w:rsid w:val="00212C54"/>
    <w:rsid w:val="00234964"/>
    <w:rsid w:val="00236365"/>
    <w:rsid w:val="00240F12"/>
    <w:rsid w:val="00246892"/>
    <w:rsid w:val="00267A14"/>
    <w:rsid w:val="002A336F"/>
    <w:rsid w:val="002A34F5"/>
    <w:rsid w:val="00323B43"/>
    <w:rsid w:val="0033367C"/>
    <w:rsid w:val="00364EF7"/>
    <w:rsid w:val="0037346B"/>
    <w:rsid w:val="00375696"/>
    <w:rsid w:val="00382BFB"/>
    <w:rsid w:val="003960B9"/>
    <w:rsid w:val="003B4219"/>
    <w:rsid w:val="003C78F4"/>
    <w:rsid w:val="003D27D0"/>
    <w:rsid w:val="003D37D8"/>
    <w:rsid w:val="0042419C"/>
    <w:rsid w:val="004358AB"/>
    <w:rsid w:val="004832E5"/>
    <w:rsid w:val="004A2616"/>
    <w:rsid w:val="004B1C19"/>
    <w:rsid w:val="004C3F8D"/>
    <w:rsid w:val="004D723B"/>
    <w:rsid w:val="004D74B0"/>
    <w:rsid w:val="004F69C7"/>
    <w:rsid w:val="004F6B43"/>
    <w:rsid w:val="005458B4"/>
    <w:rsid w:val="00553450"/>
    <w:rsid w:val="005A4EC6"/>
    <w:rsid w:val="005B0A67"/>
    <w:rsid w:val="005B6F31"/>
    <w:rsid w:val="005F146C"/>
    <w:rsid w:val="00612AE6"/>
    <w:rsid w:val="00633B73"/>
    <w:rsid w:val="00674B95"/>
    <w:rsid w:val="006C6973"/>
    <w:rsid w:val="00797278"/>
    <w:rsid w:val="007A10BE"/>
    <w:rsid w:val="007A6A1F"/>
    <w:rsid w:val="007B59A5"/>
    <w:rsid w:val="007C6E4C"/>
    <w:rsid w:val="008142B2"/>
    <w:rsid w:val="008B5119"/>
    <w:rsid w:val="008B7726"/>
    <w:rsid w:val="008C27D9"/>
    <w:rsid w:val="008C421B"/>
    <w:rsid w:val="008F6C1C"/>
    <w:rsid w:val="009122D8"/>
    <w:rsid w:val="00950C93"/>
    <w:rsid w:val="009A00E9"/>
    <w:rsid w:val="009A2AAE"/>
    <w:rsid w:val="009A715E"/>
    <w:rsid w:val="009A7BE2"/>
    <w:rsid w:val="009B5E08"/>
    <w:rsid w:val="009C6319"/>
    <w:rsid w:val="00A33199"/>
    <w:rsid w:val="00AA0454"/>
    <w:rsid w:val="00AA7AD1"/>
    <w:rsid w:val="00AE4685"/>
    <w:rsid w:val="00B0146D"/>
    <w:rsid w:val="00B05C90"/>
    <w:rsid w:val="00B17317"/>
    <w:rsid w:val="00B20BF5"/>
    <w:rsid w:val="00B44C37"/>
    <w:rsid w:val="00B50CF6"/>
    <w:rsid w:val="00B779AF"/>
    <w:rsid w:val="00B8150E"/>
    <w:rsid w:val="00B90FEB"/>
    <w:rsid w:val="00BA2FED"/>
    <w:rsid w:val="00BD23DB"/>
    <w:rsid w:val="00C1352E"/>
    <w:rsid w:val="00C46789"/>
    <w:rsid w:val="00C55B44"/>
    <w:rsid w:val="00C86AD1"/>
    <w:rsid w:val="00CB5824"/>
    <w:rsid w:val="00CF4BB4"/>
    <w:rsid w:val="00D339C0"/>
    <w:rsid w:val="00D43D7A"/>
    <w:rsid w:val="00D4428C"/>
    <w:rsid w:val="00D746FB"/>
    <w:rsid w:val="00D813FC"/>
    <w:rsid w:val="00D90E51"/>
    <w:rsid w:val="00DA2F41"/>
    <w:rsid w:val="00DC56E6"/>
    <w:rsid w:val="00E43CFE"/>
    <w:rsid w:val="00E56A5D"/>
    <w:rsid w:val="00E92CA7"/>
    <w:rsid w:val="00EB4EC7"/>
    <w:rsid w:val="00EC12A5"/>
    <w:rsid w:val="00EE25B4"/>
    <w:rsid w:val="00EF4679"/>
    <w:rsid w:val="00F250B3"/>
    <w:rsid w:val="00F6670C"/>
    <w:rsid w:val="00F8261E"/>
    <w:rsid w:val="00F95976"/>
    <w:rsid w:val="00FE2B00"/>
    <w:rsid w:val="00FF06FE"/>
    <w:rsid w:val="01D597C1"/>
    <w:rsid w:val="032176DE"/>
    <w:rsid w:val="0C007978"/>
    <w:rsid w:val="0CDF5C13"/>
    <w:rsid w:val="0FF22A45"/>
    <w:rsid w:val="1E29422C"/>
    <w:rsid w:val="23F570FB"/>
    <w:rsid w:val="25F7976B"/>
    <w:rsid w:val="27927BE5"/>
    <w:rsid w:val="2FCA3B26"/>
    <w:rsid w:val="36E5AB86"/>
    <w:rsid w:val="37247C4E"/>
    <w:rsid w:val="38D719C8"/>
    <w:rsid w:val="39FA5881"/>
    <w:rsid w:val="3AEA5C42"/>
    <w:rsid w:val="3EFDE859"/>
    <w:rsid w:val="40A663DD"/>
    <w:rsid w:val="4468565C"/>
    <w:rsid w:val="45220014"/>
    <w:rsid w:val="56332CA5"/>
    <w:rsid w:val="58976828"/>
    <w:rsid w:val="5F2DF961"/>
    <w:rsid w:val="5F7F7450"/>
    <w:rsid w:val="5FFF931B"/>
    <w:rsid w:val="63022A3B"/>
    <w:rsid w:val="6BFF7842"/>
    <w:rsid w:val="77EFD83C"/>
    <w:rsid w:val="7B436C45"/>
    <w:rsid w:val="7FBFAE9A"/>
    <w:rsid w:val="7FE5AB48"/>
    <w:rsid w:val="7FFAB161"/>
    <w:rsid w:val="7FFF5646"/>
    <w:rsid w:val="E7EF2F8F"/>
    <w:rsid w:val="F4DD96EE"/>
    <w:rsid w:val="F77AA547"/>
    <w:rsid w:val="FF4E219C"/>
    <w:rsid w:val="FF7F8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59" w:lineRule="auto"/>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pPr>
      <w:spacing w:after="0"/>
    </w:pPr>
    <w:rPr>
      <w:sz w:val="18"/>
      <w:szCs w:val="18"/>
    </w:r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7">
    <w:name w:val="Strong"/>
    <w:basedOn w:val="6"/>
    <w:qFormat/>
    <w:uiPriority w:val="22"/>
    <w:rPr>
      <w:b/>
      <w:bCs/>
    </w:rPr>
  </w:style>
  <w:style w:type="character" w:styleId="8">
    <w:name w:val="FollowedHyperlink"/>
    <w:basedOn w:val="6"/>
    <w:unhideWhenUsed/>
    <w:qFormat/>
    <w:uiPriority w:val="99"/>
    <w:rPr>
      <w:color w:val="800080" w:themeColor="followedHyperlink"/>
      <w:u w:val="single"/>
    </w:rPr>
  </w:style>
  <w:style w:type="character" w:styleId="9">
    <w:name w:val="Hyperlink"/>
    <w:basedOn w:val="6"/>
    <w:unhideWhenUsed/>
    <w:qFormat/>
    <w:uiPriority w:val="99"/>
    <w:rPr>
      <w:color w:val="0000FF" w:themeColor="hyperlink"/>
      <w:u w:val="single"/>
    </w:rPr>
  </w:style>
  <w:style w:type="paragraph" w:customStyle="1" w:styleId="10">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11">
    <w:name w:val="页眉 Char"/>
    <w:basedOn w:val="6"/>
    <w:link w:val="4"/>
    <w:semiHidden/>
    <w:qFormat/>
    <w:uiPriority w:val="99"/>
    <w:rPr>
      <w:rFonts w:ascii="Tahoma" w:hAnsi="Tahoma"/>
      <w:sz w:val="18"/>
      <w:szCs w:val="18"/>
    </w:rPr>
  </w:style>
  <w:style w:type="character" w:customStyle="1" w:styleId="12">
    <w:name w:val="页脚 Char"/>
    <w:basedOn w:val="6"/>
    <w:link w:val="3"/>
    <w:semiHidden/>
    <w:qFormat/>
    <w:uiPriority w:val="99"/>
    <w:rPr>
      <w:rFonts w:ascii="Tahoma" w:hAnsi="Tahoma"/>
      <w:sz w:val="18"/>
      <w:szCs w:val="18"/>
    </w:rPr>
  </w:style>
  <w:style w:type="character" w:customStyle="1" w:styleId="13">
    <w:name w:val="批注框文本 Char"/>
    <w:basedOn w:val="6"/>
    <w:link w:val="2"/>
    <w:semiHidden/>
    <w:qFormat/>
    <w:uiPriority w:val="99"/>
    <w:rPr>
      <w:rFonts w:ascii="Tahoma" w:hAnsi="Tahoma"/>
      <w:sz w:val="18"/>
      <w:szCs w:val="18"/>
    </w:rPr>
  </w:style>
  <w:style w:type="character" w:customStyle="1" w:styleId="14">
    <w:name w:val="apple-converted-space"/>
    <w:basedOn w:val="6"/>
    <w:qFormat/>
    <w:uiPriority w:val="0"/>
  </w:style>
  <w:style w:type="paragraph" w:customStyle="1" w:styleId="15">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419</Words>
  <Characters>2392</Characters>
  <Lines>19</Lines>
  <Paragraphs>5</Paragraphs>
  <TotalTime>1</TotalTime>
  <ScaleCrop>false</ScaleCrop>
  <LinksUpToDate>false</LinksUpToDate>
  <CharactersWithSpaces>2806</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2021-08-23T10:28:00Z</dcterms:created>
  <dc:creator>xtzj</dc:creator>
  <cp:lastModifiedBy>新宇</cp:lastModifiedBy>
  <dcterms:modified xsi:type="dcterms:W3CDTF">2023-09-09T16:43:52Z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5F710CAB7C70623C4830FC640044EA58</vt:lpwstr>
  </property>
</Properties>
</file>